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tabs>
          <w:tab w:val="clear" w:pos="708"/>
          <w:tab w:val="left" w:pos="432" w:leader="none"/>
        </w:tabs>
        <w:spacing w:before="240" w:after="0"/>
        <w:ind w:end="5"/>
        <w:rPr>
          <w:rFonts w:ascii="Tahoma" w:hAnsi="Tahoma" w:hint="eastAsia"/>
          <w:color w:val="000000"/>
          <w:sz w:val="20"/>
          <w:szCs w:val="20"/>
        </w:rPr>
      </w:pPr>
      <w:bookmarkStart w:id="0" w:name="_Hlk97286785_kopia_1"/>
      <w:bookmarkEnd w:id="0"/>
      <w:r>
        <w:rPr>
          <w:rFonts w:ascii="Tahoma" w:hAnsi="Tahoma"/>
          <w:b/>
          <w:bCs/>
          <w:i/>
          <w:iCs/>
          <w:color w:val="000000"/>
          <w:sz w:val="20"/>
          <w:szCs w:val="20"/>
        </w:rPr>
        <w:t>Znak sprawy; ZP/11/PN/26                                                                                                                                                     Załącznik nr 1.1 do SWZ</w:t>
      </w:r>
    </w:p>
    <w:p>
      <w:pPr>
        <w:pStyle w:val="Normal"/>
        <w:spacing w:lineRule="atLeast" w:line="102" w:before="0" w:after="0"/>
        <w:jc w:val="end"/>
        <w:rPr>
          <w:rFonts w:ascii="Tahoma" w:hAnsi="Tahoma" w:cs="Cambria"/>
          <w:b/>
          <w:bCs/>
          <w:sz w:val="21"/>
          <w:szCs w:val="21"/>
          <w:shd w:fill="FFFFFF" w:val="clear"/>
        </w:rPr>
      </w:pPr>
      <w:r>
        <w:rPr>
          <w:rFonts w:cs="Cambria" w:ascii="Tahoma" w:hAnsi="Tahoma"/>
          <w:b/>
          <w:bCs/>
          <w:sz w:val="21"/>
          <w:szCs w:val="21"/>
          <w:shd w:fill="FFFFFF" w:val="clear"/>
        </w:rPr>
      </w:r>
    </w:p>
    <w:p>
      <w:pPr>
        <w:pStyle w:val="Normal"/>
        <w:spacing w:before="0" w:after="120"/>
        <w:jc w:val="center"/>
        <w:rPr>
          <w:rFonts w:ascii="Tahoma" w:hAnsi="Tahoma"/>
          <w:sz w:val="21"/>
          <w:szCs w:val="21"/>
        </w:rPr>
      </w:pPr>
      <w:r>
        <w:rPr>
          <w:rFonts w:ascii="Tahoma" w:hAnsi="Tahoma"/>
          <w:sz w:val="21"/>
          <w:szCs w:val="21"/>
        </w:rPr>
        <w:t>Dotyczy przetargu nieograniczonego pn:</w:t>
      </w:r>
    </w:p>
    <w:p>
      <w:pPr>
        <w:pStyle w:val="Normal"/>
        <w:spacing w:before="0" w:after="120"/>
        <w:jc w:val="center"/>
        <w:rPr>
          <w:rFonts w:ascii="Tahoma" w:hAnsi="Tahoma"/>
          <w:sz w:val="21"/>
          <w:szCs w:val="21"/>
          <w:shd w:fill="FFFFFF" w:val="clear"/>
        </w:rPr>
      </w:pPr>
      <w:r>
        <w:rPr>
          <w:rFonts w:cs="Tahoma" w:ascii="Tahoma" w:hAnsi="Tahoma"/>
          <w:b/>
          <w:bCs/>
          <w:sz w:val="21"/>
          <w:szCs w:val="21"/>
          <w:shd w:fill="FFFFFF" w:val="clear"/>
        </w:rPr>
        <w:t xml:space="preserve">,,Zakup licencji AMMS wraz z </w:t>
      </w:r>
      <w:r>
        <w:rPr>
          <w:rFonts w:cs="Tahoma" w:ascii="Tahoma" w:hAnsi="Tahoma"/>
          <w:b/>
          <w:bCs/>
          <w:color w:val="000000"/>
          <w:sz w:val="21"/>
          <w:szCs w:val="21"/>
          <w:shd w:fill="FFFFFF" w:val="clear"/>
        </w:rPr>
        <w:t xml:space="preserve">nadzorem i wdrożeniem, </w:t>
      </w:r>
      <w:r>
        <w:rPr>
          <w:rFonts w:cs="Tahoma" w:ascii="Tahoma" w:hAnsi="Tahoma"/>
          <w:b/>
          <w:bCs/>
          <w:sz w:val="21"/>
          <w:szCs w:val="21"/>
          <w:shd w:fill="FFFFFF" w:val="clear"/>
        </w:rPr>
        <w:t xml:space="preserve">integracją systemów informatycznych </w:t>
      </w:r>
      <w:r>
        <w:rPr>
          <w:rFonts w:eastAsia="Tahoma" w:cs="Tahoma" w:ascii="Tahoma" w:hAnsi="Tahoma"/>
          <w:b/>
          <w:bCs/>
          <w:sz w:val="21"/>
          <w:szCs w:val="21"/>
          <w:shd w:fill="FFFFFF" w:val="clear"/>
        </w:rPr>
        <w:t>Szpitala Powiatowego im. Tadeusza Malińskiego w Śremie sp. z o. o. – II cz.”</w:t>
      </w:r>
    </w:p>
    <w:p>
      <w:pPr>
        <w:pStyle w:val="Normal"/>
        <w:jc w:val="center"/>
        <w:rPr>
          <w:rFonts w:ascii="Tahoma" w:hAnsi="Tahoma"/>
          <w:sz w:val="21"/>
          <w:szCs w:val="21"/>
        </w:rPr>
      </w:pPr>
      <w:r>
        <w:rPr>
          <w:rFonts w:cs="Tahoma" w:ascii="Tahoma" w:hAnsi="Tahoma"/>
          <w:sz w:val="21"/>
          <w:szCs w:val="21"/>
          <w:shd w:fill="FFFFFF" w:val="clear"/>
        </w:rPr>
        <w:t xml:space="preserve"> </w:t>
      </w:r>
      <w:r>
        <w:rPr>
          <w:rFonts w:cs="Tahoma" w:ascii="Tahoma" w:hAnsi="Tahoma"/>
          <w:sz w:val="21"/>
          <w:szCs w:val="21"/>
          <w:shd w:fill="FFFFFF" w:val="clear"/>
        </w:rPr>
        <w:t>przedsięwzięcie pn.:</w:t>
      </w:r>
    </w:p>
    <w:p>
      <w:pPr>
        <w:pStyle w:val="Normal"/>
        <w:jc w:val="center"/>
        <w:rPr/>
      </w:pPr>
      <w:r>
        <w:rPr>
          <w:rFonts w:eastAsia="Tahoma" w:cs="Tahoma" w:ascii="Tahoma" w:hAnsi="Tahoma"/>
          <w:b/>
          <w:bCs/>
          <w:sz w:val="21"/>
          <w:szCs w:val="21"/>
          <w:shd w:fill="FFFFFF" w:val="clear"/>
        </w:rPr>
        <w:t xml:space="preserve">Transformacja cyfrowa Szpitala Powiatowego im. Tadeusza Malińskiego w Śremie sp. z o. o., </w:t>
      </w:r>
      <w:r>
        <w:rPr>
          <w:rFonts w:cs="Tahoma" w:ascii="Tahoma" w:hAnsi="Tahoma"/>
          <w:b/>
          <w:bCs/>
          <w:sz w:val="21"/>
          <w:szCs w:val="21"/>
          <w:shd w:fill="FFFFFF" w:val="clear"/>
        </w:rPr>
        <w:t xml:space="preserve">realizowane w ramach </w:t>
      </w:r>
      <w:r>
        <w:rPr>
          <w:rStyle w:val="Strong"/>
          <w:rFonts w:cs="Tahoma" w:ascii="Tahoma" w:hAnsi="Tahoma"/>
          <w:color w:val="1B1B1B"/>
          <w:sz w:val="21"/>
          <w:szCs w:val="21"/>
          <w:shd w:fill="FFFFFF" w:val="clear"/>
        </w:rPr>
        <w:t>Krajowego Planu Odbudowy i Zwiększania Odporności -Komponent D „Efektywność, dostępność i jakość systemu ochrony zdrowia” Inwestycja D1.1.2 „Przyspieszenie procesów transformacji cyfrowej ochrony zdrowia poprzez dalszy rozwój usług cyfrowych w ochronie zdrowia”</w:t>
      </w:r>
    </w:p>
    <w:p>
      <w:pPr>
        <w:pStyle w:val="Normal"/>
        <w:jc w:val="both"/>
        <w:rPr>
          <w:rFonts w:ascii="Tahoma" w:hAnsi="Tahoma" w:cs="Tahoma"/>
          <w:sz w:val="21"/>
          <w:szCs w:val="21"/>
          <w:shd w:fill="FFFFFF" w:val="clear"/>
        </w:rPr>
      </w:pPr>
      <w:r>
        <w:rPr>
          <w:rFonts w:cs="Tahoma" w:ascii="Tahoma" w:hAnsi="Tahoma"/>
          <w:sz w:val="21"/>
          <w:szCs w:val="21"/>
          <w:shd w:fill="FFFFFF" w:val="clear"/>
        </w:rPr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  <w:tblLook w:firstRow="1" w:noVBand="1" w:lastRow="0" w:firstColumn="1" w:lastColumn="0" w:noHBand="0" w:val="04a0"/>
      </w:tblPr>
      <w:tblGrid>
        <w:gridCol w:w="3451"/>
        <w:gridCol w:w="1046"/>
        <w:gridCol w:w="4277"/>
        <w:gridCol w:w="2563"/>
        <w:gridCol w:w="2153"/>
        <w:gridCol w:w="796"/>
      </w:tblGrid>
      <w:tr>
        <w:trPr/>
        <w:tc>
          <w:tcPr>
            <w:tcW w:w="14286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Zawartotabeliuser"/>
              <w:spacing w:lineRule="atLeast" w:line="102" w:before="280" w:after="119"/>
              <w:jc w:val="center"/>
              <w:rPr>
                <w:rFonts w:ascii="Tahoma" w:hAnsi="Tahoma"/>
                <w:sz w:val="21"/>
                <w:szCs w:val="21"/>
              </w:rPr>
            </w:pPr>
            <w:r>
              <w:rPr>
                <w:rFonts w:cs="Cambria" w:ascii="Tahoma" w:hAnsi="Tahoma"/>
                <w:b/>
                <w:bCs/>
                <w:sz w:val="21"/>
                <w:szCs w:val="21"/>
                <w:u w:val="single"/>
              </w:rPr>
              <w:t>PAKIET NR 2</w:t>
            </w:r>
          </w:p>
          <w:p>
            <w:pPr>
              <w:pStyle w:val="Zawartotabeliuser"/>
              <w:spacing w:lineRule="atLeast" w:line="102" w:before="280" w:after="119"/>
              <w:jc w:val="center"/>
              <w:rPr>
                <w:rFonts w:ascii="Tahoma" w:hAnsi="Tahoma"/>
                <w:sz w:val="21"/>
                <w:szCs w:val="21"/>
              </w:rPr>
            </w:pPr>
            <w:r>
              <w:rPr>
                <w:rFonts w:cs="Cambria" w:ascii="Tahoma" w:hAnsi="Tahoma"/>
                <w:b/>
                <w:bCs/>
                <w:sz w:val="21"/>
                <w:szCs w:val="21"/>
              </w:rPr>
              <w:t>ARKUSZ CENOWY</w:t>
            </w:r>
          </w:p>
        </w:tc>
      </w:tr>
      <w:tr>
        <w:trPr/>
        <w:tc>
          <w:tcPr>
            <w:tcW w:w="3451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spacing w:before="0" w:after="200"/>
              <w:jc w:val="center"/>
              <w:rPr>
                <w:highlight w:val="none"/>
                <w:shd w:fill="FFFFFF" w:val="clear"/>
              </w:rPr>
            </w:pPr>
            <w:r>
              <w:rPr>
                <w:rFonts w:cs="Tahoma" w:ascii="Tahoma" w:hAnsi="Tahoma"/>
                <w:b/>
                <w:bCs/>
                <w:sz w:val="21"/>
                <w:szCs w:val="21"/>
                <w:shd w:fill="FFFFFF" w:val="clear"/>
              </w:rPr>
              <w:t>Nazwa</w:t>
            </w:r>
          </w:p>
        </w:tc>
        <w:tc>
          <w:tcPr>
            <w:tcW w:w="1046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spacing w:before="0" w:after="200"/>
              <w:jc w:val="center"/>
              <w:rPr>
                <w:highlight w:val="none"/>
                <w:shd w:fill="FFFFFF" w:val="clear"/>
              </w:rPr>
            </w:pPr>
            <w:r>
              <w:rPr>
                <w:rFonts w:cs="Tahoma" w:ascii="Tahoma" w:hAnsi="Tahoma"/>
                <w:b/>
                <w:bCs/>
                <w:sz w:val="21"/>
                <w:szCs w:val="21"/>
                <w:shd w:fill="FFFFFF" w:val="clear"/>
              </w:rPr>
              <w:t>Ilość</w:t>
            </w:r>
          </w:p>
        </w:tc>
        <w:tc>
          <w:tcPr>
            <w:tcW w:w="427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highlight w:val="none"/>
                <w:shd w:fill="FFFFFF" w:val="clear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21"/>
                <w:szCs w:val="21"/>
                <w:shd w:fill="FFFFFF" w:val="clear"/>
              </w:rPr>
              <w:t>ZADANIE /DZIAŁANIE  W PROJEKCIE</w:t>
            </w:r>
          </w:p>
        </w:tc>
        <w:tc>
          <w:tcPr>
            <w:tcW w:w="2563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spacing w:before="0" w:after="200"/>
              <w:jc w:val="center"/>
              <w:rPr>
                <w:highlight w:val="none"/>
                <w:shd w:fill="FFFFFF" w:val="clear"/>
              </w:rPr>
            </w:pPr>
            <w:r>
              <w:rPr>
                <w:rFonts w:cs="Tahoma" w:ascii="Tahoma" w:hAnsi="Tahoma"/>
                <w:b/>
                <w:bCs/>
                <w:sz w:val="21"/>
                <w:szCs w:val="21"/>
                <w:shd w:fill="FFFFFF" w:val="clear"/>
              </w:rPr>
              <w:t>Kwota netto (PLN)</w:t>
            </w:r>
          </w:p>
        </w:tc>
        <w:tc>
          <w:tcPr>
            <w:tcW w:w="2153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spacing w:before="0" w:after="200"/>
              <w:jc w:val="center"/>
              <w:rPr>
                <w:highlight w:val="none"/>
                <w:shd w:fill="FFFFFF" w:val="clear"/>
              </w:rPr>
            </w:pPr>
            <w:r>
              <w:rPr>
                <w:rFonts w:cs="Tahoma" w:ascii="Tahoma" w:hAnsi="Tahoma"/>
                <w:b/>
                <w:bCs/>
                <w:sz w:val="21"/>
                <w:szCs w:val="21"/>
                <w:shd w:fill="FFFFFF" w:val="clear"/>
              </w:rPr>
              <w:t>Kwota brutto (PLN)</w:t>
            </w:r>
          </w:p>
        </w:tc>
        <w:tc>
          <w:tcPr>
            <w:tcW w:w="79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Zawartotabeliuser"/>
              <w:jc w:val="center"/>
              <w:rPr>
                <w:rFonts w:ascii="Tahoma" w:hAnsi="Tahoma" w:cs="Tahoma"/>
                <w:b/>
                <w:bCs/>
                <w:sz w:val="21"/>
                <w:szCs w:val="21"/>
                <w:highlight w:val="none"/>
                <w:shd w:fill="FFFFFF" w:val="clear"/>
              </w:rPr>
            </w:pPr>
            <w:r>
              <w:rPr>
                <w:rFonts w:cs="Tahoma" w:ascii="Tahoma" w:hAnsi="Tahoma"/>
                <w:b/>
                <w:bCs/>
                <w:sz w:val="21"/>
                <w:szCs w:val="21"/>
                <w:shd w:fill="FFFFFF" w:val="clear"/>
              </w:rPr>
            </w:r>
          </w:p>
          <w:p>
            <w:pPr>
              <w:pStyle w:val="Zawartotabeliuser"/>
              <w:jc w:val="center"/>
              <w:rPr>
                <w:rFonts w:ascii="Tahoma" w:hAnsi="Tahoma"/>
                <w:sz w:val="21"/>
                <w:szCs w:val="21"/>
                <w:highlight w:val="none"/>
                <w:shd w:fill="FFFFFF" w:val="clear"/>
              </w:rPr>
            </w:pPr>
            <w:r>
              <w:rPr>
                <w:rFonts w:ascii="Tahoma" w:hAnsi="Tahoma"/>
                <w:sz w:val="21"/>
                <w:szCs w:val="21"/>
                <w:shd w:fill="FFFFFF" w:val="clear"/>
              </w:rPr>
            </w:r>
          </w:p>
          <w:p>
            <w:pPr>
              <w:pStyle w:val="Zawartotabeliuser"/>
              <w:jc w:val="center"/>
              <w:rPr>
                <w:highlight w:val="none"/>
                <w:shd w:fill="FFFFFF" w:val="clear"/>
              </w:rPr>
            </w:pPr>
            <w:r>
              <w:rPr>
                <w:rFonts w:cs="Tahoma" w:ascii="Tahoma" w:hAnsi="Tahoma"/>
                <w:b/>
                <w:bCs/>
                <w:sz w:val="21"/>
                <w:szCs w:val="21"/>
                <w:shd w:fill="FFFFFF" w:val="clear"/>
              </w:rPr>
              <w:t xml:space="preserve"> </w:t>
            </w:r>
            <w:r>
              <w:rPr>
                <w:rFonts w:cs="Tahoma" w:ascii="Tahoma" w:hAnsi="Tahoma"/>
                <w:b/>
                <w:bCs/>
                <w:sz w:val="21"/>
                <w:szCs w:val="21"/>
                <w:shd w:fill="FFFFFF" w:val="clear"/>
              </w:rPr>
              <w:t>VAT%</w:t>
            </w:r>
          </w:p>
          <w:p>
            <w:pPr>
              <w:pStyle w:val="Zawartotabeliuser"/>
              <w:jc w:val="center"/>
              <w:rPr>
                <w:rFonts w:ascii="Tahoma" w:hAnsi="Tahoma"/>
                <w:sz w:val="21"/>
                <w:szCs w:val="21"/>
                <w:highlight w:val="none"/>
                <w:shd w:fill="FFFFFF" w:val="clear"/>
              </w:rPr>
            </w:pPr>
            <w:r>
              <w:rPr>
                <w:rFonts w:ascii="Tahoma" w:hAnsi="Tahoma"/>
                <w:sz w:val="21"/>
                <w:szCs w:val="21"/>
                <w:shd w:fill="FFFFFF" w:val="clear"/>
              </w:rPr>
            </w:r>
          </w:p>
          <w:p>
            <w:pPr>
              <w:pStyle w:val="Zawartotabeliuser"/>
              <w:spacing w:before="0" w:after="200"/>
              <w:jc w:val="center"/>
              <w:rPr>
                <w:rFonts w:ascii="Tahoma" w:hAnsi="Tahoma" w:cs="Tahoma"/>
                <w:b/>
                <w:bCs/>
                <w:sz w:val="21"/>
                <w:szCs w:val="21"/>
                <w:highlight w:val="none"/>
                <w:shd w:fill="FFFFFF" w:val="clear"/>
              </w:rPr>
            </w:pPr>
            <w:r>
              <w:rPr>
                <w:rFonts w:cs="Tahoma" w:ascii="Tahoma" w:hAnsi="Tahoma"/>
                <w:b/>
                <w:bCs/>
                <w:sz w:val="21"/>
                <w:szCs w:val="21"/>
                <w:shd w:fill="FFFFFF" w:val="clear"/>
              </w:rPr>
            </w:r>
          </w:p>
        </w:tc>
      </w:tr>
      <w:tr>
        <w:trPr/>
        <w:tc>
          <w:tcPr>
            <w:tcW w:w="3451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ahoma" w:ascii="Tahoma" w:hAnsi="Tahoma"/>
                <w:b/>
                <w:color w:val="000000"/>
                <w:sz w:val="20"/>
                <w:szCs w:val="20"/>
              </w:rPr>
              <w:t>Opisy Lekarskie AI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cs="Tahoma" w:ascii="Tahoma" w:hAnsi="Tahoma"/>
                <w:b/>
                <w:color w:val="000000"/>
                <w:sz w:val="20"/>
                <w:szCs w:val="20"/>
              </w:rPr>
              <w:t>(3 licencje użytkownika) wraz z wdrożeniem</w:t>
            </w:r>
          </w:p>
          <w:p>
            <w:pPr>
              <w:pStyle w:val="Normal"/>
              <w:spacing w:before="0" w:after="16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color w:val="000000"/>
                <w:sz w:val="20"/>
                <w:szCs w:val="20"/>
              </w:rPr>
            </w:r>
          </w:p>
        </w:tc>
        <w:tc>
          <w:tcPr>
            <w:tcW w:w="1046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rFonts w:cs="Tahoma" w:ascii="Tahoma" w:hAnsi="Tahoma"/>
                <w:color w:val="000000"/>
                <w:sz w:val="20"/>
                <w:szCs w:val="20"/>
              </w:rPr>
              <w:t>1 kpl.</w:t>
            </w:r>
          </w:p>
        </w:tc>
        <w:tc>
          <w:tcPr>
            <w:tcW w:w="427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0"/>
                <w:szCs w:val="20"/>
              </w:rPr>
            </w:pPr>
            <w:r>
              <w:rPr>
                <w:rFonts w:cs="Tahoma" w:ascii="Tahoma" w:hAnsi="Tahoma"/>
                <w:b/>
                <w:bCs/>
                <w:color w:val="000000"/>
                <w:sz w:val="20"/>
                <w:szCs w:val="20"/>
              </w:rPr>
              <w:t>ZADANIE 4</w:t>
            </w:r>
            <w:r>
              <w:rPr>
                <w:rFonts w:cs="Tahoma" w:ascii="Tahoma" w:hAnsi="Tahoma"/>
                <w:color w:val="000000"/>
                <w:sz w:val="20"/>
                <w:szCs w:val="20"/>
              </w:rPr>
              <w:t xml:space="preserve"> – Wdrożenie rozwiązań AI i podłączenie do centralnego repozytorium danych medycznych / </w:t>
            </w:r>
            <w:r>
              <w:rPr>
                <w:rFonts w:cs="Tahoma" w:ascii="Tahoma" w:hAnsi="Tahoma"/>
                <w:b/>
                <w:bCs/>
                <w:color w:val="000000"/>
                <w:sz w:val="20"/>
                <w:szCs w:val="20"/>
              </w:rPr>
              <w:t xml:space="preserve">DZIAŁANIE II </w:t>
            </w:r>
            <w:r>
              <w:rPr>
                <w:rFonts w:cs="Tahoma" w:ascii="Tahoma" w:hAnsi="Tahoma"/>
                <w:color w:val="000000"/>
                <w:sz w:val="20"/>
                <w:szCs w:val="20"/>
              </w:rPr>
              <w:t>– Zakup innych narzędzi lub systemów wykorzystujących algorytmy AI, służących optymalizacji procesów szpitalnych oraz organizacji pracy personelu medycznego lub niemedycznego</w:t>
            </w:r>
          </w:p>
        </w:tc>
        <w:tc>
          <w:tcPr>
            <w:tcW w:w="256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tLeast" w:line="300" w:before="0" w:after="200"/>
              <w:jc w:val="center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/>
                <w:color w:val="000000"/>
                <w:sz w:val="20"/>
                <w:szCs w:val="20"/>
              </w:rPr>
            </w:r>
          </w:p>
        </w:tc>
        <w:tc>
          <w:tcPr>
            <w:tcW w:w="215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napToGrid w:val="false"/>
              <w:spacing w:before="0" w:after="20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color w:val="000000"/>
                <w:sz w:val="20"/>
                <w:szCs w:val="20"/>
              </w:rPr>
            </w:r>
          </w:p>
        </w:tc>
        <w:tc>
          <w:tcPr>
            <w:tcW w:w="79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snapToGrid w:val="false"/>
              <w:spacing w:before="0" w:after="20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cs="Tahoma" w:ascii="Tahoma" w:hAnsi="Tahoma"/>
                <w:color w:val="000000"/>
                <w:sz w:val="20"/>
                <w:szCs w:val="20"/>
              </w:rPr>
            </w:r>
          </w:p>
        </w:tc>
      </w:tr>
      <w:tr>
        <w:trPr>
          <w:trHeight w:val="519" w:hRule="atLeast"/>
        </w:trPr>
        <w:tc>
          <w:tcPr>
            <w:tcW w:w="8774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before="0" w:after="200"/>
              <w:jc w:val="end"/>
              <w:rPr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RAZEM:</w:t>
            </w:r>
          </w:p>
        </w:tc>
        <w:tc>
          <w:tcPr>
            <w:tcW w:w="256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napToGrid w:val="false"/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215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napToGrid w:val="false"/>
              <w:spacing w:before="0" w:after="20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79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snapToGrid w:val="false"/>
              <w:spacing w:before="0" w:after="200"/>
              <w:jc w:val="center"/>
              <w:rPr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---</w:t>
            </w:r>
          </w:p>
        </w:tc>
      </w:tr>
      <w:tr>
        <w:trPr/>
        <w:tc>
          <w:tcPr>
            <w:tcW w:w="8774" w:type="dxa"/>
            <w:gridSpan w:val="3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before="0" w:after="200"/>
              <w:jc w:val="end"/>
              <w:rPr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SŁOWNIE WARTOŚĆ  BRUTTO</w:t>
            </w:r>
          </w:p>
        </w:tc>
        <w:tc>
          <w:tcPr>
            <w:tcW w:w="5512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Zawartotabeliuser"/>
              <w:snapToGrid w:val="false"/>
              <w:spacing w:before="0" w:after="20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</w:tbl>
    <w:p>
      <w:pPr>
        <w:pStyle w:val="Normal"/>
        <w:jc w:val="center"/>
        <w:rPr>
          <w:rFonts w:ascii="Tahoma" w:hAnsi="Tahoma"/>
          <w:color w:val="000000"/>
          <w:sz w:val="18"/>
          <w:szCs w:val="18"/>
        </w:rPr>
      </w:pPr>
      <w:r>
        <w:rPr>
          <w:rFonts w:ascii="Tahoma" w:hAnsi="Tahoma"/>
          <w:color w:val="000000"/>
          <w:sz w:val="18"/>
          <w:szCs w:val="18"/>
        </w:rPr>
        <w:t>Wymaga się, aby Wykonawca wypełnił wszystkie kolumny w powyższej tabeli: wartość podatku VAT, wartość netto i brutto w PLN. Niewypełnienie chociaż jednej rubryki/kolumny skutkować będzie odrzuceniem oferty w trybie art. 226 ust. 1 pkt 5 ustawy Prawo zamówień publicznych, ponieważ jej treść będzie niezgodna z warunkami zamówienia.</w:t>
      </w:r>
    </w:p>
    <w:p>
      <w:pPr>
        <w:pStyle w:val="Normal"/>
        <w:jc w:val="center"/>
        <w:rPr>
          <w:rFonts w:ascii="Tahoma" w:hAnsi="Tahoma"/>
          <w:color w:val="000000"/>
          <w:sz w:val="18"/>
          <w:szCs w:val="18"/>
        </w:rPr>
      </w:pPr>
      <w:r>
        <w:rPr>
          <w:rFonts w:ascii="Tahoma" w:hAnsi="Tahoma"/>
          <w:color w:val="000000"/>
          <w:sz w:val="18"/>
          <w:szCs w:val="18"/>
        </w:rPr>
      </w:r>
    </w:p>
    <w:p>
      <w:pPr>
        <w:pStyle w:val="Normal"/>
        <w:spacing w:lineRule="atLeast" w:line="102" w:before="280" w:after="119"/>
        <w:jc w:val="center"/>
        <w:rPr>
          <w:rFonts w:ascii="Cambria" w:hAnsi="Cambria" w:cs="Cambria"/>
          <w:b/>
          <w:bCs/>
        </w:rPr>
      </w:pPr>
      <w:r>
        <w:rPr>
          <w:rFonts w:cs="Cambria" w:ascii="Cambria" w:hAnsi="Cambria"/>
          <w:b/>
          <w:bCs/>
        </w:rPr>
      </w:r>
    </w:p>
    <w:p>
      <w:pPr>
        <w:pStyle w:val="Normal"/>
        <w:jc w:val="end"/>
        <w:rPr>
          <w:rFonts w:ascii="Tahoma" w:hAnsi="Tahoma"/>
          <w:sz w:val="21"/>
          <w:szCs w:val="21"/>
        </w:rPr>
      </w:pPr>
      <w:r>
        <w:rPr>
          <w:rFonts w:cs="Tahoma" w:ascii="Tahoma" w:hAnsi="Tahoma"/>
          <w:color w:val="000000"/>
          <w:sz w:val="21"/>
          <w:szCs w:val="21"/>
        </w:rPr>
        <w:t xml:space="preserve">                                                                                </w:t>
      </w:r>
      <w:r>
        <w:rPr>
          <w:rFonts w:cs="Tahoma" w:ascii="Tahoma" w:hAnsi="Tahoma"/>
          <w:color w:val="000000"/>
          <w:sz w:val="21"/>
          <w:szCs w:val="21"/>
        </w:rPr>
        <w:t>....................................................................</w:t>
      </w:r>
    </w:p>
    <w:p>
      <w:pPr>
        <w:pStyle w:val="Normal"/>
        <w:jc w:val="center"/>
        <w:rPr>
          <w:rFonts w:ascii="Tahoma" w:hAnsi="Tahoma"/>
          <w:sz w:val="21"/>
          <w:szCs w:val="21"/>
        </w:rPr>
      </w:pPr>
      <w:r>
        <w:rPr>
          <w:rFonts w:cs="Tahoma" w:ascii="Tahoma" w:hAnsi="Tahoma"/>
          <w:sz w:val="21"/>
          <w:szCs w:val="21"/>
        </w:rPr>
        <w:t xml:space="preserve">                                                                                                                                               </w:t>
      </w:r>
      <w:r>
        <w:rPr>
          <w:rFonts w:cs="Tahoma" w:ascii="Tahoma" w:hAnsi="Tahoma"/>
          <w:sz w:val="16"/>
          <w:szCs w:val="16"/>
        </w:rPr>
        <w:t xml:space="preserve">  </w:t>
      </w:r>
      <w:r>
        <w:rPr>
          <w:rFonts w:cs="Century Gothic" w:ascii="Tahoma" w:hAnsi="Tahoma"/>
          <w:sz w:val="16"/>
          <w:szCs w:val="16"/>
        </w:rPr>
        <w:t>podpis osoby uprawnionej</w:t>
      </w:r>
    </w:p>
    <w:p>
      <w:pPr>
        <w:pStyle w:val="Normal"/>
        <w:jc w:val="center"/>
        <w:rPr>
          <w:sz w:val="16"/>
          <w:szCs w:val="16"/>
        </w:rPr>
      </w:pPr>
      <w:r>
        <w:rPr>
          <w:rFonts w:eastAsia="Century Gothic" w:cs="Century Gothic" w:ascii="Tahoma" w:hAnsi="Tahoma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>
        <w:rPr>
          <w:rFonts w:cs="Century Gothic" w:ascii="Tahoma" w:hAnsi="Tahoma"/>
          <w:sz w:val="16"/>
          <w:szCs w:val="16"/>
        </w:rPr>
        <w:t>do składania oświadczeń woli w imieniu Wykonawcy</w:t>
      </w:r>
    </w:p>
    <w:p>
      <w:pPr>
        <w:pStyle w:val="Normal"/>
        <w:rPr>
          <w:rFonts w:ascii="Tahoma" w:hAnsi="Tahoma" w:cs="Calibri" w:cstheme="minorHAnsi"/>
          <w:sz w:val="21"/>
          <w:szCs w:val="21"/>
        </w:rPr>
      </w:pPr>
      <w:r>
        <w:rPr>
          <w:rFonts w:cs="Calibri" w:cstheme="minorHAnsi" w:ascii="Tahoma" w:hAnsi="Tahoma"/>
          <w:sz w:val="21"/>
          <w:szCs w:val="21"/>
        </w:rPr>
      </w:r>
    </w:p>
    <w:p>
      <w:pPr>
        <w:pStyle w:val="Normal"/>
        <w:widowControl w:val="false"/>
        <w:overflowPunct w:val="true"/>
        <w:spacing w:before="0" w:after="0"/>
        <w:jc w:val="center"/>
        <w:rPr>
          <w:rFonts w:cs="Calibri" w:cstheme="minorHAnsi"/>
          <w:b/>
          <w:color w:val="auto"/>
        </w:rPr>
      </w:pPr>
      <w:r>
        <w:rPr>
          <w:rFonts w:cs="Calibri" w:cstheme="minorHAnsi"/>
          <w:b/>
          <w:color w:val="auto"/>
        </w:rPr>
        <w:t>PAKIET NR 2</w:t>
      </w:r>
    </w:p>
    <w:p>
      <w:pPr>
        <w:pStyle w:val="Normal"/>
        <w:widowControl w:val="false"/>
        <w:overflowPunct w:val="true"/>
        <w:spacing w:before="0" w:after="0"/>
        <w:jc w:val="center"/>
        <w:rPr>
          <w:rFonts w:cs="Calibri" w:cstheme="minorHAnsi"/>
          <w:b/>
          <w:color w:val="auto"/>
        </w:rPr>
      </w:pPr>
      <w:r>
        <w:rPr>
          <w:rFonts w:cs="Calibri" w:cstheme="minorHAnsi"/>
          <w:b/>
          <w:color w:val="auto"/>
        </w:rPr>
        <w:t xml:space="preserve">     </w:t>
      </w:r>
      <w:r>
        <w:rPr>
          <w:rFonts w:cs="Cambria" w:ascii="Cambria" w:hAnsi="Cambria"/>
          <w:b/>
          <w:bCs/>
        </w:rPr>
        <w:t xml:space="preserve">OPIS PRZEDMIOTU ZAMÓWIENIA </w:t>
      </w:r>
    </w:p>
    <w:p>
      <w:pPr>
        <w:pStyle w:val="Normal"/>
        <w:widowControl w:val="false"/>
        <w:overflowPunct w:val="true"/>
        <w:spacing w:before="0" w:after="0"/>
        <w:jc w:val="center"/>
        <w:rPr>
          <w:rFonts w:cs="Calibri" w:cstheme="minorHAnsi"/>
          <w:b/>
          <w:color w:val="auto"/>
        </w:rPr>
      </w:pPr>
      <w:r>
        <w:rPr>
          <w:rFonts w:cs="Cambria" w:ascii="Cambria" w:hAnsi="Cambria"/>
          <w:b/>
          <w:bCs/>
        </w:rPr>
        <w:t xml:space="preserve"> </w:t>
      </w:r>
      <w:r>
        <w:rPr>
          <w:rFonts w:cs="Cambria" w:ascii="Cambria" w:hAnsi="Cambria"/>
          <w:b/>
          <w:bCs/>
        </w:rPr>
        <w:t>FORMULARZ PARAMETRÓW TECHNICZNYCH</w:t>
      </w:r>
    </w:p>
    <w:p>
      <w:pPr>
        <w:pStyle w:val="Normal"/>
        <w:widowControl w:val="false"/>
        <w:overflowPunct w:val="true"/>
        <w:spacing w:before="0" w:after="0"/>
        <w:jc w:val="center"/>
        <w:rPr>
          <w:rFonts w:cs="Calibri" w:cstheme="minorHAnsi"/>
          <w:b/>
          <w:color w:val="auto"/>
        </w:rPr>
      </w:pPr>
      <w:r>
        <w:rPr>
          <w:rFonts w:cs="Cambria" w:ascii="Cambria" w:hAnsi="Cambria"/>
          <w:b/>
          <w:bCs/>
        </w:rPr>
        <w:t xml:space="preserve">MINIMALNE WYMAGANE PARAMETRY I FUNKCJE </w:t>
      </w:r>
    </w:p>
    <w:p>
      <w:pPr>
        <w:pStyle w:val="ListParagraph"/>
        <w:tabs>
          <w:tab w:val="clear" w:pos="708"/>
          <w:tab w:val="left" w:pos="993" w:leader="none"/>
        </w:tabs>
        <w:spacing w:lineRule="auto" w:line="259" w:before="0" w:after="160"/>
        <w:ind w:start="0"/>
        <w:contextualSpacing/>
        <w:rPr>
          <w:rFonts w:eastAsia="" w:eastAsiaTheme="minorEastAsia"/>
          <w:highlight w:val="yellow"/>
        </w:rPr>
      </w:pPr>
      <w:r>
        <w:rPr>
          <w:rFonts w:eastAsia="" w:eastAsiaTheme="minorEastAsia"/>
          <w:highlight w:val="yellow"/>
        </w:rPr>
      </w:r>
    </w:p>
    <w:p>
      <w:pPr>
        <w:pStyle w:val="ListParagraph"/>
        <w:tabs>
          <w:tab w:val="clear" w:pos="708"/>
          <w:tab w:val="left" w:pos="993" w:leader="none"/>
        </w:tabs>
        <w:spacing w:lineRule="auto" w:line="259" w:before="0" w:after="160"/>
        <w:ind w:start="0"/>
        <w:contextualSpacing/>
        <w:rPr>
          <w:rFonts w:eastAsia="" w:eastAsiaTheme="minorEastAsia"/>
          <w:highlight w:val="yellow"/>
        </w:rPr>
      </w:pPr>
      <w:r>
        <w:rPr>
          <w:rFonts w:eastAsia="" w:eastAsiaTheme="minorEastAsia"/>
          <w:highlight w:val="yellow"/>
        </w:rPr>
      </w:r>
    </w:p>
    <w:p>
      <w:pPr>
        <w:pStyle w:val="ListParagraph"/>
        <w:spacing w:lineRule="auto" w:line="240"/>
        <w:jc w:val="center"/>
        <w:rPr>
          <w:b/>
          <w:bCs/>
        </w:rPr>
      </w:pPr>
      <w:r>
        <w:rPr>
          <w:rFonts w:eastAsia="Times New Roman"/>
          <w:b/>
          <w:bCs/>
          <w:color w:val="00B0F0"/>
          <w:sz w:val="32"/>
          <w:szCs w:val="32"/>
          <w:lang w:eastAsia="pl-PL"/>
        </w:rPr>
        <w:t>Opisy Lekarskie AI (wariant dla oddziału)</w:t>
      </w:r>
    </w:p>
    <w:p>
      <w:pPr>
        <w:pStyle w:val="ListParagraph"/>
        <w:pBdr>
          <w:bottom w:val="single" w:sz="12" w:space="1" w:color="000000"/>
        </w:pBdr>
        <w:spacing w:lineRule="auto" w:line="240"/>
        <w:ind w:start="0"/>
        <w:jc w:val="both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Wymagania funkcjonalne</w:t>
      </w:r>
    </w:p>
    <w:p>
      <w:pPr>
        <w:pStyle w:val="Normal"/>
        <w:tabs>
          <w:tab w:val="clear" w:pos="708"/>
          <w:tab w:val="left" w:pos="993" w:leader="none"/>
        </w:tabs>
        <w:rPr/>
      </w:pPr>
      <w:r>
        <w:rPr/>
        <w:t>Opis wszystkich funkcjonalności oraz zależności w ramach modułu, w podziale: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993" w:leader="none"/>
        </w:tabs>
        <w:spacing w:lineRule="auto" w:line="259" w:before="0" w:after="160"/>
        <w:contextualSpacing/>
        <w:rPr/>
      </w:pPr>
      <w:r>
        <w:rPr>
          <w:b/>
          <w:bCs/>
        </w:rPr>
        <w:t>Wymagania funkcjonalne</w:t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59" w:before="0" w:after="160"/>
        <w:contextualSpacing/>
        <w:jc w:val="both"/>
        <w:rPr/>
      </w:pPr>
      <w:r>
        <w:rPr/>
        <w:t>System musi umożliwiać generowanie opisów lekarskich przy wykorzystaniu algorytmu sztucznej inteligencji oraz danych gromadzonych przez system HIS.</w:t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59" w:before="0" w:after="160"/>
        <w:contextualSpacing/>
        <w:jc w:val="both"/>
        <w:rPr/>
      </w:pPr>
      <w:r>
        <w:rPr/>
        <w:t>System musi umożliwiać definiowanie zakresu informacji uwzględnianych w wygenerowanym opisie, przy użyciu konfiguratora generacji.</w:t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59" w:before="0" w:after="160"/>
        <w:contextualSpacing/>
        <w:jc w:val="both"/>
        <w:rPr/>
      </w:pPr>
      <w:r>
        <w:rPr/>
        <w:t>System musi umożliwiać użytkownikowi zatwierdzanie wygenerowanego opisu oraz jego ręczne dostosowanie.</w:t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59" w:before="0" w:after="160"/>
        <w:contextualSpacing/>
        <w:jc w:val="both"/>
        <w:rPr/>
      </w:pPr>
      <w:r>
        <w:rPr/>
        <w:t>System musi zapewniać pseudonimizację danych przekazywanych do narzędzia AI (LLM).</w:t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59" w:before="0" w:after="160"/>
        <w:contextualSpacing/>
        <w:jc w:val="both"/>
        <w:rPr/>
      </w:pPr>
      <w:r>
        <w:rPr/>
        <w:t>System musi uwzględniać specyfikę języka medycznego oraz jego notacji, np.: dawkowanie leków, notacje granic referencyjnych itp.</w:t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59" w:before="0" w:after="160"/>
        <w:contextualSpacing/>
        <w:jc w:val="both"/>
        <w:rPr/>
      </w:pPr>
      <w:r>
        <w:rPr/>
        <w:t>System musi weryfikować wygenerowane treści pod kątem gramatyki, ortografii, jednolitej notacji (np. dawek leków, wyników złożonych), a także poprawności terminologii w języku polskim, łacińskim i angielskim oraz zgodności z obowiązującymi kodami i skrótami.</w:t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59" w:before="0" w:after="160"/>
        <w:contextualSpacing/>
        <w:jc w:val="both"/>
        <w:rPr/>
      </w:pPr>
      <w:r>
        <w:rPr/>
        <w:t>System podczas trwania projektu musi mieć możliwość wygenerowania minimum 150 tysięcy opisów.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</w:tabs>
        <w:spacing w:lineRule="auto" w:line="259" w:before="0" w:after="160"/>
        <w:rPr/>
      </w:pPr>
      <w:r>
        <w:rPr>
          <w:b/>
          <w:bCs/>
        </w:rPr>
        <w:t>Wewnętrzne integracje: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rPr/>
      </w:pPr>
      <w:r>
        <w:rPr/>
        <w:t>Funkcjonalność dostępna jest dla użytkownika w systemie HIS oraz typu dashboard (pulpitowym, dostępnym na dowolnym urządzeniu). Dla obu wariantów odpowiedzi na żądania użytkownika generowane są za pośrednictwem dostępnych w</w:t>
      </w:r>
      <w:r>
        <w:rPr>
          <w:rFonts w:eastAsia="Aptos" w:cs="Aptos" w:ascii="Aptos" w:hAnsi="Aptos"/>
          <w:color w:themeColor="text1" w:val="000000"/>
        </w:rPr>
        <w:t xml:space="preserve"> platformie chmurowej</w:t>
      </w:r>
      <w:r>
        <w:rPr/>
        <w:t xml:space="preserve"> usług AI (LLM)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rPr/>
      </w:pPr>
      <w:r>
        <w:rPr/>
        <w:t>Środowisko systemu HIS oraz platformy integracyjnej:</w:t>
      </w:r>
    </w:p>
    <w:p>
      <w:pPr>
        <w:pStyle w:val="Normal"/>
        <w:numPr>
          <w:ilvl w:val="2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rPr/>
      </w:pPr>
      <w:r>
        <w:rPr/>
        <w:t>posiada dostęp do środowiska chmurowego (z zainstalowanymi usługami AI) z wykorzystaniem połączenia VPN,</w:t>
      </w:r>
    </w:p>
    <w:p>
      <w:pPr>
        <w:pStyle w:val="Normal"/>
        <w:numPr>
          <w:ilvl w:val="2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rPr/>
      </w:pPr>
      <w:r>
        <w:rPr/>
        <w:t>ma dopuszczony do komunikacji ruch na porcie 443.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59" w:before="0" w:after="160"/>
        <w:rPr/>
      </w:pPr>
      <w:r>
        <w:rPr>
          <w:rFonts w:eastAsia="Aptos" w:cs="Aptos" w:ascii="Aptos" w:hAnsi="Aptos"/>
          <w:color w:themeColor="text1" w:val="000000"/>
        </w:rPr>
        <w:t>Opisy lekarskie AI jako moduł dostępny w ramach platformy chmurowej</w:t>
      </w:r>
      <w:r>
        <w:rPr/>
        <w:t xml:space="preserve"> usług AI</w:t>
      </w:r>
      <w:r>
        <w:rPr>
          <w:rFonts w:eastAsia="Aptos" w:cs="Aptos" w:ascii="Aptos" w:hAnsi="Aptos"/>
          <w:color w:themeColor="text1" w:val="000000"/>
        </w:rPr>
        <w:t xml:space="preserve">.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</w:tabs>
        <w:spacing w:lineRule="auto" w:line="259" w:before="0" w:after="160"/>
        <w:rPr/>
      </w:pPr>
      <w:r>
        <w:rPr>
          <w:b/>
          <w:bCs/>
        </w:rPr>
        <w:t>Zależności między modułami: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59" w:before="0" w:after="160"/>
        <w:rPr/>
      </w:pPr>
      <w:r>
        <w:rPr/>
        <w:t>Zainstalowany i skonfigurowany HIS z uruchomionym modułem Ruch Chorych.</w:t>
      </w:r>
    </w:p>
    <w:p>
      <w:pPr>
        <w:pStyle w:val="ListParagraph"/>
        <w:numPr>
          <w:ilvl w:val="0"/>
          <w:numId w:val="0"/>
        </w:numPr>
        <w:pBdr>
          <w:bottom w:val="single" w:sz="12" w:space="1" w:color="000000"/>
        </w:pBdr>
        <w:spacing w:lineRule="auto" w:line="240"/>
        <w:ind w:hanging="0" w:start="0"/>
        <w:jc w:val="both"/>
        <w:rPr/>
      </w:pPr>
      <w:r>
        <w:rPr>
          <w:b/>
          <w:bCs/>
          <w:sz w:val="28"/>
          <w:szCs w:val="24"/>
        </w:rPr>
        <w:t>Kryteria odbioru produktu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</w:tabs>
        <w:rPr/>
      </w:pPr>
      <w:r>
        <w:rPr/>
        <w:t>Lista mierzalnych i jednoznacznych kryteriów potwierdzających zakończenie prac i gotowość do odbioru: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ind w:hanging="0" w:start="720"/>
        <w:jc w:val="both"/>
        <w:rPr/>
      </w:pPr>
      <w:r>
        <w:rPr/>
        <w:t>4.1 Produkt zostanie uznany za zgodny funkcjonalnie, jeśli: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59" w:before="0" w:after="160"/>
        <w:ind w:hanging="0" w:start="720"/>
        <w:jc w:val="both"/>
        <w:rPr/>
      </w:pPr>
      <w:r>
        <w:rPr/>
        <w:t>4.1.1 Umożliwia wygenerowanie opisu lekarskiego, którego treść oparta jest o dane pochodzące z bazy systemu dziedzinowego HIS, w tym minimum dane o pacjencie, obserwacje, wyniki badań, zaplanowane konsultacje i badania, ordynowane leki oraz diety.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59" w:before="0" w:after="160"/>
        <w:ind w:hanging="0" w:start="720"/>
        <w:jc w:val="both"/>
        <w:rPr/>
      </w:pPr>
      <w:r>
        <w:rPr/>
        <w:t>4.1.2 Umożliwia określanie, które składowe powinny stanowić bazę dla generowanego opisu lekarskiego oraz z jakim poziomem szczegółowości.</w:t>
      </w:r>
    </w:p>
    <w:p>
      <w:pPr>
        <w:pStyle w:val="ListParagraph"/>
        <w:numPr>
          <w:ilvl w:val="0"/>
          <w:numId w:val="0"/>
        </w:numPr>
        <w:pBdr>
          <w:bottom w:val="single" w:sz="12" w:space="1" w:color="000000"/>
        </w:pBdr>
        <w:spacing w:lineRule="auto" w:line="240"/>
        <w:ind w:hanging="0" w:start="0"/>
        <w:jc w:val="both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</w:r>
    </w:p>
    <w:p>
      <w:pPr>
        <w:pStyle w:val="ListParagraph"/>
        <w:numPr>
          <w:ilvl w:val="0"/>
          <w:numId w:val="0"/>
        </w:numPr>
        <w:pBdr>
          <w:bottom w:val="single" w:sz="12" w:space="1" w:color="000000"/>
        </w:pBdr>
        <w:spacing w:lineRule="auto" w:line="240"/>
        <w:ind w:hanging="0" w:start="0"/>
        <w:jc w:val="both"/>
        <w:rPr/>
      </w:pPr>
      <w:r>
        <w:rPr>
          <w:b/>
          <w:bCs/>
          <w:sz w:val="28"/>
          <w:szCs w:val="24"/>
        </w:rPr>
        <w:t>Wymagania do uruchomienia produktu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</w:tabs>
        <w:rPr/>
      </w:pPr>
      <w:r>
        <w:rPr/>
        <w:t>Lista zasobów, zależności i warunków koniecznych do uruchomienia modułu: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</w:tabs>
        <w:spacing w:lineRule="auto" w:line="259" w:before="0" w:after="160"/>
        <w:rPr/>
      </w:pPr>
      <w:r>
        <w:rPr>
          <w:b/>
          <w:bCs/>
        </w:rPr>
        <w:t>Warunki startowe (minimalna wersja AMMS)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Licencja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Działająca komunikacja z NFZ,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Wdrożony i prawidłowo skonfigurowany: Ruch Chorych HIS.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</w:tabs>
        <w:spacing w:lineRule="auto" w:line="259" w:before="0" w:after="160"/>
        <w:rPr/>
      </w:pPr>
      <w:r>
        <w:rPr>
          <w:b/>
          <w:bCs/>
        </w:rPr>
        <w:t>Wymagania techniczne: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Dostęp do środowiska chmurowego (z zainstalowanymi usługami AI) z wykorzystaniem VPN,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Dopuszczony ruch na porcie 443 na maszynie wirtualnej z  HIS, na której zainstalowano Platformę Integracyjną do komunikacji,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Dostęp do środowisk klienckich z możliwością konfiguracji powyższych usług.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</w:tabs>
        <w:spacing w:lineRule="auto" w:line="240" w:before="0" w:after="0"/>
        <w:ind w:hanging="0" w:start="720"/>
        <w:rPr>
          <w:highlight w:val="yellow"/>
        </w:rPr>
      </w:pPr>
      <w:r>
        <w:rPr>
          <w:highlight w:val="yellow"/>
        </w:rPr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</w:tabs>
        <w:spacing w:lineRule="auto" w:line="259" w:before="0" w:after="160"/>
        <w:rPr/>
      </w:pPr>
      <w:r>
        <w:rPr>
          <w:b/>
          <w:bCs/>
        </w:rPr>
        <w:t>Wymagania organizacyjne: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Uruchomione w ramach oddziału zlecenia leków,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Dostęp do wyników badań z poziomu systemu HIS.</w:t>
      </w:r>
    </w:p>
    <w:p>
      <w:pPr>
        <w:pStyle w:val="ListParagraph"/>
        <w:numPr>
          <w:ilvl w:val="0"/>
          <w:numId w:val="0"/>
        </w:numPr>
        <w:pBdr>
          <w:bottom w:val="single" w:sz="12" w:space="1" w:color="000000"/>
        </w:pBdr>
        <w:spacing w:lineRule="auto" w:line="240"/>
        <w:ind w:hanging="0" w:start="0"/>
        <w:jc w:val="both"/>
        <w:rPr/>
      </w:pPr>
      <w:r>
        <w:rPr>
          <w:b/>
          <w:bCs/>
          <w:sz w:val="28"/>
          <w:szCs w:val="24"/>
        </w:rPr>
        <w:t xml:space="preserve">Opis wdrożenia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</w:tabs>
        <w:rPr/>
      </w:pPr>
      <w:r>
        <w:rPr/>
        <w:t>Opis tego, co musi zostać uruchomione i skonfigurowane w ramach wdrożenia: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720"/>
        <w:rPr/>
      </w:pPr>
      <w:r>
        <w:rPr>
          <w:b/>
          <w:bCs/>
        </w:rPr>
        <w:t>Elementy do uruchomienia: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Licencja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720"/>
        <w:rPr/>
      </w:pPr>
      <w:r>
        <w:rPr>
          <w:b/>
          <w:bCs/>
        </w:rPr>
        <w:t>Parametryzacja środowiska: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Wgranie licencji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Konfiguracja w ramach systemu HIS,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Nadanie uprawnień dla użytkowników/JOSów.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720"/>
        <w:rPr/>
      </w:pPr>
      <w:r>
        <w:rPr>
          <w:b/>
          <w:bCs/>
        </w:rPr>
        <w:t>Kolejność uruchamiania komponentów: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93" w:leader="none"/>
        </w:tabs>
        <w:spacing w:lineRule="auto" w:line="240" w:before="0" w:after="0"/>
        <w:ind w:hanging="357" w:start="1440"/>
        <w:rPr/>
      </w:pPr>
      <w:r>
        <w:rPr/>
        <w:t>Serwer HIS</w:t>
      </w:r>
    </w:p>
    <w:p>
      <w:pPr>
        <w:pStyle w:val="Normal"/>
        <w:tabs>
          <w:tab w:val="clear" w:pos="708"/>
          <w:tab w:val="left" w:pos="993" w:leader="none"/>
        </w:tabs>
        <w:rPr/>
      </w:pPr>
      <w:r>
        <w:rPr/>
        <w:t>Wdrożeni kończy się na instalacji systemu.</w:t>
      </w:r>
    </w:p>
    <w:p>
      <w:pPr>
        <w:pStyle w:val="Normal"/>
        <w:jc w:val="end"/>
        <w:rPr>
          <w:rFonts w:ascii="Tahoma" w:hAnsi="Tahoma"/>
          <w:sz w:val="21"/>
          <w:szCs w:val="21"/>
        </w:rPr>
      </w:pPr>
      <w:r>
        <w:rPr>
          <w:rFonts w:cs="Tahoma" w:ascii="Tahoma" w:hAnsi="Tahoma"/>
          <w:color w:val="000000"/>
          <w:sz w:val="21"/>
          <w:szCs w:val="21"/>
        </w:rPr>
        <w:t xml:space="preserve">      </w:t>
      </w:r>
      <w:r>
        <w:rPr>
          <w:rFonts w:cs="Tahoma" w:ascii="Tahoma" w:hAnsi="Tahoma"/>
          <w:color w:val="000000"/>
          <w:sz w:val="21"/>
          <w:szCs w:val="21"/>
        </w:rPr>
        <w:t>....................................................................</w:t>
      </w:r>
    </w:p>
    <w:p>
      <w:pPr>
        <w:pStyle w:val="Normal"/>
        <w:spacing w:before="0" w:after="0"/>
        <w:jc w:val="center"/>
        <w:rPr>
          <w:rFonts w:ascii="Tahoma" w:hAnsi="Tahoma"/>
          <w:sz w:val="21"/>
          <w:szCs w:val="21"/>
        </w:rPr>
      </w:pPr>
      <w:r>
        <w:rPr>
          <w:rFonts w:cs="Tahoma" w:ascii="Tahoma" w:hAnsi="Tahoma"/>
          <w:sz w:val="21"/>
          <w:szCs w:val="21"/>
        </w:rPr>
        <w:t xml:space="preserve">                                                                                                                                               </w:t>
      </w:r>
      <w:r>
        <w:rPr>
          <w:rFonts w:cs="Tahoma" w:ascii="Tahoma" w:hAnsi="Tahoma"/>
          <w:sz w:val="16"/>
          <w:szCs w:val="16"/>
        </w:rPr>
        <w:t xml:space="preserve">  </w:t>
      </w:r>
      <w:r>
        <w:rPr>
          <w:rFonts w:cs="Century Gothic" w:ascii="Tahoma" w:hAnsi="Tahoma"/>
          <w:sz w:val="16"/>
          <w:szCs w:val="16"/>
        </w:rPr>
        <w:t>podpis osoby uprawnionej</w:t>
      </w:r>
    </w:p>
    <w:p>
      <w:pPr>
        <w:pStyle w:val="Normal"/>
        <w:spacing w:before="0" w:after="0"/>
        <w:jc w:val="center"/>
        <w:rPr/>
      </w:pPr>
      <w:r>
        <w:rPr>
          <w:rFonts w:eastAsia="Century Gothic" w:cs="Century Gothic" w:ascii="Tahoma" w:hAnsi="Tahoma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>
        <w:rPr>
          <w:rFonts w:cs="Century Gothic" w:ascii="Tahoma" w:hAnsi="Tahoma"/>
          <w:sz w:val="16"/>
          <w:szCs w:val="16"/>
        </w:rPr>
        <w:t>do składania oświadczeń woli w imieniu Wykonawcy</w:t>
      </w:r>
    </w:p>
    <w:p>
      <w:pPr>
        <w:pStyle w:val="ListParagraph"/>
        <w:spacing w:lineRule="auto" w:line="240" w:before="0" w:after="200"/>
        <w:contextualSpacing/>
        <w:jc w:val="center"/>
        <w:rPr>
          <w:b/>
          <w:bCs/>
        </w:rPr>
      </w:pPr>
      <w:r>
        <w:rPr>
          <w:b/>
          <w:bCs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418" w:right="1134" w:gutter="0" w:header="1410" w:top="2730" w:footer="868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ambria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Aptos"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818915667"/>
      <w:docPartObj>
        <w:docPartGallery w:val="Page Numbers (Bottom of Page)"/>
        <w:docPartUnique w:val="true"/>
      </w:docPartObj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jc w:val="center"/>
      <w:rPr>
        <w:rStyle w:val="PageNumber"/>
        <w:sz w:val="16"/>
      </w:rPr>
    </w:pPr>
    <w:r>
      <w:rPr>
        <w:sz w:val="16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818915667"/>
      <w:docPartObj>
        <w:docPartGallery w:val="Page Numbers (Bottom of Page)"/>
        <w:docPartUnique w:val="true"/>
      </w:docPartObj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jc w:val="center"/>
      <w:rPr>
        <w:rStyle w:val="PageNumber"/>
        <w:sz w:val="16"/>
      </w:rPr>
    </w:pPr>
    <w:r>
      <w:rPr>
        <w:sz w:val="1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9071610" cy="658495"/>
          <wp:effectExtent l="0" t="0" r="0" b="0"/>
          <wp:docPr id="1" name="Obraz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3" t="-1333" r="-133" b="-1333"/>
                  <a:stretch>
                    <a:fillRect/>
                  </a:stretch>
                </pic:blipFill>
                <pic:spPr bwMode="auto">
                  <a:xfrm>
                    <a:off x="0" y="0"/>
                    <a:ext cx="907161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9071610" cy="658495"/>
          <wp:effectExtent l="0" t="0" r="0" b="0"/>
          <wp:docPr id="2" name="Obraz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33" t="-1333" r="-133" b="-1333"/>
                  <a:stretch>
                    <a:fillRect/>
                  </a:stretch>
                </pic:blipFill>
                <pic:spPr bwMode="auto">
                  <a:xfrm>
                    <a:off x="0" y="0"/>
                    <a:ext cx="907161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§ %1."/>
      <w:lvlJc w:val="start"/>
      <w:pPr>
        <w:tabs>
          <w:tab w:val="num" w:pos="851"/>
        </w:tabs>
        <w:ind w:start="0" w:hanging="0"/>
      </w:pPr>
      <w:rPr>
        <w:rFonts w:ascii="Calibri" w:hAnsi="Calibri" w:cs="Times New Roman"/>
        <w:b/>
        <w:i w:val="false"/>
        <w:sz w:val="22"/>
        <w:szCs w:val="20"/>
      </w:rPr>
    </w:lvl>
    <w:lvl w:ilvl="1">
      <w:start w:val="1"/>
      <w:numFmt w:val="decimal"/>
      <w:isLgl/>
      <w:lvlText w:val="%2."/>
      <w:lvlJc w:val="start"/>
      <w:pPr>
        <w:tabs>
          <w:tab w:val="num" w:pos="0"/>
        </w:tabs>
        <w:ind w:start="567" w:hanging="567"/>
      </w:pPr>
      <w:rPr/>
    </w:lvl>
    <w:lvl w:ilvl="2">
      <w:start w:val="1"/>
      <w:numFmt w:val="decimal"/>
      <w:isLgl/>
      <w:lvlText w:val="%2.%3"/>
      <w:lvlJc w:val="end"/>
      <w:pPr>
        <w:tabs>
          <w:tab w:val="num" w:pos="0"/>
        </w:tabs>
        <w:ind w:start="907" w:hanging="170"/>
      </w:pPr>
      <w:rPr/>
    </w:lvl>
    <w:lvl w:ilvl="3">
      <w:start w:val="1"/>
      <w:numFmt w:val="lowerLetter"/>
      <w:lvlText w:val="%4."/>
      <w:lvlJc w:val="start"/>
      <w:pPr>
        <w:tabs>
          <w:tab w:val="num" w:pos="0"/>
        </w:tabs>
        <w:ind w:start="907" w:hanging="283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1247" w:hanging="283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5341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6061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781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7501" w:hanging="180"/>
      </w:pPr>
      <w:rPr/>
    </w:lvl>
  </w:abstractNum>
  <w:abstractNum w:abstractNumId="2">
    <w:lvl w:ilvl="0">
      <w:start w:val="1"/>
      <w:numFmt w:val="decimal"/>
      <w:lvlText w:val="%1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1.%2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1.%2.%3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1.%2.%3.%4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1.%2.%3.%4.%5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1.%2.%3.%4.%5.%6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1.%2.%3.%4.%5.%6.%7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1.%2.%3.%4.%5.%6.%7.%8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1.%2.%3.%4.%5.%6.%7.%8.%9"/>
      <w:lvlJc w:val="start"/>
      <w:pPr>
        <w:tabs>
          <w:tab w:val="num" w:pos="3600"/>
        </w:tabs>
        <w:ind w:star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c290f"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Times New Roman"/>
      <w:color w:val="00000A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b478bb"/>
    <w:pPr>
      <w:keepNext w:val="true"/>
      <w:keepLines/>
      <w:spacing w:lineRule="auto" w:line="240"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513707"/>
    <w:pPr>
      <w:keepNext w:val="true"/>
      <w:keepLines/>
      <w:spacing w:lineRule="auto" w:line="259" w:before="160" w:after="80"/>
      <w:outlineLvl w:val="1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513707"/>
    <w:pPr>
      <w:keepNext w:val="true"/>
      <w:keepLines/>
      <w:spacing w:lineRule="auto" w:line="259" w:before="160" w:after="80"/>
      <w:outlineLvl w:val="2"/>
    </w:pPr>
    <w:rPr>
      <w:rFonts w:eastAsia="" w:cs="" w:cstheme="majorBidi" w:eastAsiaTheme="majorEastAsia"/>
      <w:color w:themeColor="accent1" w:themeShade="bf" w:val="365F91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513707"/>
    <w:pPr>
      <w:keepNext w:val="true"/>
      <w:keepLines/>
      <w:spacing w:lineRule="auto" w:line="259" w:before="80" w:after="40"/>
      <w:outlineLvl w:val="3"/>
    </w:pPr>
    <w:rPr>
      <w:rFonts w:eastAsia="" w:cs="" w:cstheme="majorBidi" w:eastAsiaTheme="majorEastAsia"/>
      <w:i/>
      <w:iCs/>
      <w:color w:themeColor="accent1" w:themeShade="bf" w:val="365F91"/>
      <w:kern w:val="2"/>
      <w14:ligatures w14:val="standardContextual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513707"/>
    <w:pPr>
      <w:keepNext w:val="true"/>
      <w:keepLines/>
      <w:spacing w:lineRule="auto" w:line="259" w:before="80" w:after="40"/>
      <w:outlineLvl w:val="4"/>
    </w:pPr>
    <w:rPr>
      <w:rFonts w:eastAsia="" w:cs="" w:cstheme="majorBidi" w:eastAsiaTheme="majorEastAsia"/>
      <w:color w:themeColor="accent1" w:themeShade="bf" w:val="365F91"/>
      <w:kern w:val="2"/>
      <w14:ligatures w14:val="standardContextual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513707"/>
    <w:pPr>
      <w:keepNext w:val="true"/>
      <w:keepLines/>
      <w:spacing w:lineRule="auto" w:line="259"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  <w:kern w:val="2"/>
      <w14:ligatures w14:val="standardContextual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513707"/>
    <w:pPr>
      <w:keepNext w:val="true"/>
      <w:keepLines/>
      <w:spacing w:lineRule="auto" w:line="259" w:before="40" w:after="0"/>
      <w:outlineLvl w:val="6"/>
    </w:pPr>
    <w:rPr>
      <w:rFonts w:eastAsia="" w:cs="" w:cstheme="majorBidi" w:eastAsiaTheme="majorEastAsia"/>
      <w:color w:themeColor="text1" w:themeTint="a6" w:val="595959"/>
      <w:kern w:val="2"/>
      <w14:ligatures w14:val="standardContextual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513707"/>
    <w:pPr>
      <w:keepNext w:val="true"/>
      <w:keepLines/>
      <w:spacing w:lineRule="auto" w:line="259"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  <w:kern w:val="2"/>
      <w14:ligatures w14:val="standardContextual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513707"/>
    <w:pPr>
      <w:keepNext w:val="true"/>
      <w:keepLines/>
      <w:spacing w:lineRule="auto" w:line="259" w:before="0" w:after="0"/>
      <w:outlineLvl w:val="8"/>
    </w:pPr>
    <w:rPr>
      <w:rFonts w:eastAsia="" w:cs="" w:cstheme="majorBidi" w:eastAsiaTheme="majorEastAsia"/>
      <w:color w:themeColor="text1" w:themeTint="d8" w:val="272727"/>
      <w:kern w:val="2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uiPriority w:val="22"/>
    <w:qFormat/>
    <w:rsid w:val="009c290f"/>
    <w:rPr>
      <w:b/>
      <w:bCs/>
    </w:rPr>
  </w:style>
  <w:style w:type="character" w:styleId="text" w:customStyle="1">
    <w:name w:val="text"/>
    <w:qFormat/>
    <w:rsid w:val="009c290f"/>
    <w:rPr/>
  </w:style>
  <w:style w:type="character" w:styleId="StopkaZnak" w:customStyle="1">
    <w:name w:val="Stopka Znak"/>
    <w:basedOn w:val="DefaultParagraphFont"/>
    <w:uiPriority w:val="99"/>
    <w:qFormat/>
    <w:rsid w:val="00c12b1e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NagwekZnak" w:customStyle="1">
    <w:name w:val="Nagłówek Znak"/>
    <w:basedOn w:val="DefaultParagraphFont"/>
    <w:uiPriority w:val="99"/>
    <w:qFormat/>
    <w:rsid w:val="00c12b1e"/>
    <w:rPr>
      <w:rFonts w:ascii="Calibri" w:hAnsi="Calibri" w:eastAsia="Calibri" w:cs="Times New Roman"/>
      <w:sz w:val="24"/>
      <w:szCs w:val="20"/>
      <w:lang w:eastAsia="ar-SA"/>
    </w:rPr>
  </w:style>
  <w:style w:type="character" w:styleId="PageNumber">
    <w:name w:val="page number"/>
    <w:uiPriority w:val="99"/>
    <w:qFormat/>
    <w:rsid w:val="00c12b1e"/>
    <w:rPr>
      <w:rFonts w:cs="Times New Roman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c12b1e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CommentReference">
    <w:name w:val="annotation reference"/>
    <w:uiPriority w:val="99"/>
    <w:qFormat/>
    <w:rsid w:val="00c12b1e"/>
    <w:rPr>
      <w:rFonts w:cs="Times New Roman"/>
      <w:sz w:val="16"/>
      <w:szCs w:val="16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c12b1e"/>
    <w:rPr>
      <w:rFonts w:ascii="Tahoma" w:hAnsi="Tahoma" w:eastAsia="Calibri" w:cs="Tahoma"/>
      <w:sz w:val="16"/>
      <w:szCs w:val="16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444cf5"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TytuZnak" w:customStyle="1">
    <w:name w:val="Tytuł Znak"/>
    <w:basedOn w:val="DefaultParagraphFont"/>
    <w:uiPriority w:val="10"/>
    <w:qFormat/>
    <w:rsid w:val="00694662"/>
    <w:rPr>
      <w:rFonts w:ascii="Cambria" w:hAnsi="Cambria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Hyperlink">
    <w:name w:val="Hyperlink"/>
    <w:rsid w:val="008d3461"/>
    <w:rPr>
      <w:color w:val="0000FF"/>
      <w:u w:val="single"/>
    </w:rPr>
  </w:style>
  <w:style w:type="character" w:styleId="Nagwek1Znak" w:customStyle="1">
    <w:name w:val="Nagłówek 1 Znak"/>
    <w:basedOn w:val="DefaultParagraphFont"/>
    <w:uiPriority w:val="9"/>
    <w:qFormat/>
    <w:rsid w:val="00b478bb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b77eb9"/>
    <w:rPr>
      <w:i/>
      <w:iCs/>
      <w:color w:themeColor="accent1" w:themeShade="bf" w:val="365F91"/>
      <w:kern w:val="2"/>
      <w:sz w:val="22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04556d"/>
    <w:rPr>
      <w:color w:val="605E5C"/>
      <w:shd w:fill="E1DFDD" w:val="clear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ef1cc6"/>
    <w:rPr>
      <w:rFonts w:cs="Times New Roman"/>
      <w:color w:val="00000A"/>
      <w:szCs w:val="20"/>
    </w:rPr>
  </w:style>
  <w:style w:type="character" w:styleId="Znakiprzypiswkocowych" w:customStyle="1">
    <w:name w:val="Znaki przypisów końcowych"/>
    <w:uiPriority w:val="99"/>
    <w:semiHidden/>
    <w:unhideWhenUsed/>
    <w:qFormat/>
    <w:rsid w:val="00ef1cc6"/>
    <w:rPr>
      <w:vertAlign w:val="superscript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ef1cc6"/>
    <w:rPr>
      <w:rFonts w:cs="Times New Roman"/>
      <w:color w:val="00000A"/>
      <w:szCs w:val="20"/>
    </w:rPr>
  </w:style>
  <w:style w:type="character" w:styleId="Znakiprzypiswdolnych" w:customStyle="1">
    <w:name w:val="Znaki przypisów dolnych"/>
    <w:uiPriority w:val="99"/>
    <w:semiHidden/>
    <w:unhideWhenUsed/>
    <w:qFormat/>
    <w:rsid w:val="00ef1cc6"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Nagwek2Znak" w:customStyle="1">
    <w:name w:val="Nagłówek 2 Znak"/>
    <w:basedOn w:val="DefaultParagraphFont"/>
    <w:uiPriority w:val="9"/>
    <w:semiHidden/>
    <w:qFormat/>
    <w:rsid w:val="00513707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kern w:val="2"/>
      <w:sz w:val="32"/>
      <w:szCs w:val="32"/>
      <w14:ligatures w14:val="standardContextual"/>
    </w:rPr>
  </w:style>
  <w:style w:type="character" w:styleId="Nagwek3Znak" w:customStyle="1">
    <w:name w:val="Nagłówek 3 Znak"/>
    <w:basedOn w:val="DefaultParagraphFont"/>
    <w:uiPriority w:val="9"/>
    <w:semiHidden/>
    <w:qFormat/>
    <w:rsid w:val="00513707"/>
    <w:rPr>
      <w:rFonts w:eastAsia="" w:cs="" w:cstheme="majorBidi" w:eastAsiaTheme="majorEastAsia"/>
      <w:color w:themeColor="accent1" w:themeShade="bf" w:val="365F91"/>
      <w:kern w:val="2"/>
      <w:sz w:val="28"/>
      <w:szCs w:val="28"/>
      <w14:ligatures w14:val="standardContextual"/>
    </w:rPr>
  </w:style>
  <w:style w:type="character" w:styleId="Nagwek4Znak" w:customStyle="1">
    <w:name w:val="Nagłówek 4 Znak"/>
    <w:basedOn w:val="DefaultParagraphFont"/>
    <w:uiPriority w:val="9"/>
    <w:semiHidden/>
    <w:qFormat/>
    <w:rsid w:val="00513707"/>
    <w:rPr>
      <w:rFonts w:eastAsia="" w:cs="" w:cstheme="majorBidi" w:eastAsiaTheme="majorEastAsia"/>
      <w:i/>
      <w:iCs/>
      <w:color w:themeColor="accent1" w:themeShade="bf" w:val="365F91"/>
      <w:kern w:val="2"/>
      <w:sz w:val="22"/>
      <w14:ligatures w14:val="standardContextual"/>
    </w:rPr>
  </w:style>
  <w:style w:type="character" w:styleId="Nagwek5Znak" w:customStyle="1">
    <w:name w:val="Nagłówek 5 Znak"/>
    <w:basedOn w:val="DefaultParagraphFont"/>
    <w:uiPriority w:val="9"/>
    <w:semiHidden/>
    <w:qFormat/>
    <w:rsid w:val="00513707"/>
    <w:rPr>
      <w:rFonts w:eastAsia="" w:cs="" w:cstheme="majorBidi" w:eastAsiaTheme="majorEastAsia"/>
      <w:color w:themeColor="accent1" w:themeShade="bf" w:val="365F91"/>
      <w:kern w:val="2"/>
      <w:sz w:val="22"/>
      <w14:ligatures w14:val="standardContextual"/>
    </w:rPr>
  </w:style>
  <w:style w:type="character" w:styleId="Nagwek6Znak" w:customStyle="1">
    <w:name w:val="Nagłówek 6 Znak"/>
    <w:basedOn w:val="DefaultParagraphFont"/>
    <w:uiPriority w:val="9"/>
    <w:semiHidden/>
    <w:qFormat/>
    <w:rsid w:val="00513707"/>
    <w:rPr>
      <w:rFonts w:eastAsia="" w:cs="" w:cstheme="majorBidi" w:eastAsiaTheme="majorEastAsia"/>
      <w:i/>
      <w:iCs/>
      <w:color w:themeColor="text1" w:themeTint="a6" w:val="595959"/>
      <w:kern w:val="2"/>
      <w:sz w:val="22"/>
      <w14:ligatures w14:val="standardContextual"/>
    </w:rPr>
  </w:style>
  <w:style w:type="character" w:styleId="Nagwek7Znak" w:customStyle="1">
    <w:name w:val="Nagłówek 7 Znak"/>
    <w:basedOn w:val="DefaultParagraphFont"/>
    <w:uiPriority w:val="9"/>
    <w:semiHidden/>
    <w:qFormat/>
    <w:rsid w:val="00513707"/>
    <w:rPr>
      <w:rFonts w:eastAsia="" w:cs="" w:cstheme="majorBidi" w:eastAsiaTheme="majorEastAsia"/>
      <w:color w:themeColor="text1" w:themeTint="a6" w:val="595959"/>
      <w:kern w:val="2"/>
      <w:sz w:val="22"/>
      <w14:ligatures w14:val="standardContextual"/>
    </w:rPr>
  </w:style>
  <w:style w:type="character" w:styleId="Nagwek8Znak" w:customStyle="1">
    <w:name w:val="Nagłówek 8 Znak"/>
    <w:basedOn w:val="DefaultParagraphFont"/>
    <w:uiPriority w:val="9"/>
    <w:semiHidden/>
    <w:qFormat/>
    <w:rsid w:val="00513707"/>
    <w:rPr>
      <w:rFonts w:eastAsia="" w:cs="" w:cstheme="majorBidi" w:eastAsiaTheme="majorEastAsia"/>
      <w:i/>
      <w:iCs/>
      <w:color w:themeColor="text1" w:themeTint="d8" w:val="272727"/>
      <w:kern w:val="2"/>
      <w:sz w:val="22"/>
      <w14:ligatures w14:val="standardContextual"/>
    </w:rPr>
  </w:style>
  <w:style w:type="character" w:styleId="Nagwek9Znak" w:customStyle="1">
    <w:name w:val="Nagłówek 9 Znak"/>
    <w:basedOn w:val="DefaultParagraphFont"/>
    <w:uiPriority w:val="9"/>
    <w:semiHidden/>
    <w:qFormat/>
    <w:rsid w:val="00513707"/>
    <w:rPr>
      <w:rFonts w:eastAsia="" w:cs="" w:cstheme="majorBidi" w:eastAsiaTheme="majorEastAsia"/>
      <w:color w:themeColor="text1" w:themeTint="d8" w:val="272727"/>
      <w:kern w:val="2"/>
      <w:sz w:val="22"/>
      <w14:ligatures w14:val="standardContextual"/>
    </w:rPr>
  </w:style>
  <w:style w:type="character" w:styleId="PodtytuZnak" w:customStyle="1">
    <w:name w:val="Podtytuł Znak"/>
    <w:basedOn w:val="DefaultParagraphFont"/>
    <w:uiPriority w:val="11"/>
    <w:qFormat/>
    <w:rsid w:val="00513707"/>
    <w:rPr>
      <w:rFonts w:eastAsia="" w:cs="" w:cstheme="majorBidi" w:eastAsiaTheme="majorEastAsia"/>
      <w:color w:themeColor="text1" w:themeTint="a6" w:val="595959"/>
      <w:spacing w:val="15"/>
      <w:kern w:val="2"/>
      <w:sz w:val="28"/>
      <w:szCs w:val="28"/>
      <w14:ligatures w14:val="standardContextual"/>
    </w:rPr>
  </w:style>
  <w:style w:type="character" w:styleId="CytatZnak" w:customStyle="1">
    <w:name w:val="Cytat Znak"/>
    <w:basedOn w:val="DefaultParagraphFont"/>
    <w:link w:val="Quote"/>
    <w:uiPriority w:val="29"/>
    <w:qFormat/>
    <w:rsid w:val="00513707"/>
    <w:rPr>
      <w:i/>
      <w:iCs/>
      <w:color w:themeColor="text1" w:themeTint="bf" w:val="404040"/>
      <w:kern w:val="2"/>
      <w:sz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13707"/>
    <w:rPr>
      <w:i/>
      <w:iCs/>
      <w:color w:themeColor="accent1" w:themeShade="bf" w:val="365F91"/>
    </w:rPr>
  </w:style>
  <w:style w:type="character" w:styleId="IntenseReference">
    <w:name w:val="Intense Reference"/>
    <w:basedOn w:val="DefaultParagraphFont"/>
    <w:uiPriority w:val="32"/>
    <w:qFormat/>
    <w:rsid w:val="00513707"/>
    <w:rPr>
      <w:b/>
      <w:bCs/>
      <w:smallCaps/>
      <w:color w:themeColor="accent1" w:themeShade="bf" w:val="365F91"/>
      <w:spacing w:val="5"/>
    </w:rPr>
  </w:style>
  <w:style w:type="character" w:styleId="AkapitzlistZnak" w:customStyle="1">
    <w:name w:val="Akapit z listą Znak"/>
    <w:link w:val="ListParagraph"/>
    <w:uiPriority w:val="34"/>
    <w:qFormat/>
    <w:locked/>
    <w:rsid w:val="00513707"/>
    <w:rPr>
      <w:rFonts w:cs="Times New Roman"/>
      <w:color w:val="00000A"/>
      <w:sz w:val="22"/>
    </w:rPr>
  </w:style>
  <w:style w:type="character" w:styleId="normaltextrun" w:customStyle="1">
    <w:name w:val="normaltextrun"/>
    <w:basedOn w:val="DefaultParagraphFont"/>
    <w:qFormat/>
    <w:rsid w:val="00513707"/>
    <w:rPr/>
  </w:style>
  <w:style w:type="character" w:styleId="eop" w:customStyle="1">
    <w:name w:val="eop"/>
    <w:basedOn w:val="DefaultParagraphFont"/>
    <w:qFormat/>
    <w:rsid w:val="00513707"/>
    <w:rPr/>
  </w:style>
  <w:style w:type="character" w:styleId="Znakinumeracjiuser">
    <w:name w:val="Znaki numeracji (user)"/>
    <w:qFormat/>
    <w:rPr/>
  </w:style>
  <w:style w:type="paragraph" w:styleId="Nagwek" w:customStyle="1">
    <w:name w:val="Nagłówek"/>
    <w:basedOn w:val="Normal"/>
    <w:next w:val="TextBody"/>
    <w:qFormat/>
    <w:rsid w:val="00075954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TextBody"/>
    <w:rsid w:val="00075954"/>
    <w:pPr/>
    <w:rPr>
      <w:rFonts w:cs="Lucida Sans"/>
    </w:rPr>
  </w:style>
  <w:style w:type="paragraph" w:styleId="Caption">
    <w:name w:val="caption"/>
    <w:basedOn w:val="Normal"/>
    <w:qFormat/>
    <w:rsid w:val="0007595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rsid w:val="00075954"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c12b1e"/>
    <w:pPr>
      <w:spacing w:lineRule="auto" w:line="240" w:before="0" w:after="0"/>
    </w:pPr>
    <w:rPr>
      <w:sz w:val="24"/>
      <w:szCs w:val="20"/>
      <w:lang w:eastAsia="ar-SA"/>
    </w:rPr>
  </w:style>
  <w:style w:type="paragraph" w:styleId="TextBody" w:customStyle="1">
    <w:name w:val="Text Body"/>
    <w:basedOn w:val="Normal"/>
    <w:qFormat/>
    <w:rsid w:val="00075954"/>
    <w:pPr>
      <w:spacing w:lineRule="auto" w:line="288" w:before="0" w:after="140"/>
    </w:pPr>
    <w:rPr/>
  </w:style>
  <w:style w:type="paragraph" w:styleId="NormalWeb">
    <w:name w:val="Normal (Web)"/>
    <w:basedOn w:val="Normal"/>
    <w:uiPriority w:val="99"/>
    <w:unhideWhenUsed/>
    <w:qFormat/>
    <w:rsid w:val="009c290f"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Footer">
    <w:name w:val="footer"/>
    <w:basedOn w:val="Normal"/>
    <w:link w:val="StopkaZnak"/>
    <w:uiPriority w:val="99"/>
    <w:rsid w:val="00c12b1e"/>
    <w:pPr>
      <w:spacing w:lineRule="auto" w:line="240" w:before="0" w:after="0"/>
    </w:pPr>
    <w:rPr>
      <w:rFonts w:ascii="Times New Roman" w:hAnsi="Times New Roman" w:eastAsia="Times New Roman"/>
      <w:sz w:val="24"/>
      <w:szCs w:val="24"/>
      <w:lang w:eastAsia="ar-SA"/>
    </w:rPr>
  </w:style>
  <w:style w:type="paragraph" w:styleId="CommentText">
    <w:name w:val="annotation text"/>
    <w:basedOn w:val="Normal"/>
    <w:link w:val="TekstkomentarzaZnak"/>
    <w:uiPriority w:val="99"/>
    <w:qFormat/>
    <w:rsid w:val="00c12b1e"/>
    <w:pPr>
      <w:spacing w:lineRule="auto" w:line="240" w:before="0" w:after="0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12b1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444cf5"/>
    <w:pPr>
      <w:spacing w:before="0" w:after="200"/>
    </w:pPr>
    <w:rPr>
      <w:rFonts w:ascii="Calibri" w:hAnsi="Calibri" w:eastAsia="Calibri" w:asciiTheme="minorHAnsi" w:eastAsiaTheme="minorHAnsi" w:hAnsiTheme="minorHAnsi"/>
      <w:b/>
      <w:bCs/>
      <w:lang w:eastAsia="en-US"/>
    </w:rPr>
  </w:style>
  <w:style w:type="paragraph" w:styleId="ListParagraph">
    <w:name w:val="List Paragraph"/>
    <w:basedOn w:val="Normal"/>
    <w:link w:val="AkapitzlistZnak"/>
    <w:uiPriority w:val="34"/>
    <w:qFormat/>
    <w:rsid w:val="0089118f"/>
    <w:pPr>
      <w:spacing w:before="0" w:after="200"/>
      <w:ind w:start="720"/>
      <w:contextualSpacing/>
    </w:pPr>
    <w:rPr/>
  </w:style>
  <w:style w:type="paragraph" w:styleId="Revision">
    <w:name w:val="Revision"/>
    <w:uiPriority w:val="99"/>
    <w:semiHidden/>
    <w:qFormat/>
    <w:rsid w:val="00c5341e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Times New Roman"/>
      <w:color w:val="00000A"/>
      <w:kern w:val="0"/>
      <w:sz w:val="22"/>
      <w:szCs w:val="22"/>
      <w:lang w:val="pl-PL" w:eastAsia="en-US" w:bidi="ar-SA"/>
    </w:rPr>
  </w:style>
  <w:style w:type="paragraph" w:styleId="Title">
    <w:name w:val="Title"/>
    <w:basedOn w:val="Normal"/>
    <w:next w:val="Normal"/>
    <w:link w:val="TytuZnak"/>
    <w:uiPriority w:val="10"/>
    <w:qFormat/>
    <w:rsid w:val="00694662"/>
    <w:pPr>
      <w:spacing w:lineRule="auto" w:line="240" w:before="0" w:after="0"/>
      <w:contextualSpacing/>
    </w:pPr>
    <w:rPr>
      <w:rFonts w:ascii="Cambria" w:hAnsi="Cambria" w:eastAsia="" w:cs="" w:asciiTheme="majorHAnsi" w:cstheme="majorBidi" w:eastAsiaTheme="majorEastAsia" w:hAnsiTheme="majorHAnsi"/>
      <w:color w:val="auto"/>
      <w:spacing w:val="-10"/>
      <w:kern w:val="2"/>
      <w:sz w:val="56"/>
      <w:szCs w:val="56"/>
    </w:rPr>
  </w:style>
  <w:style w:type="paragraph" w:styleId="Default" w:customStyle="1">
    <w:name w:val="Default"/>
    <w:uiPriority w:val="99"/>
    <w:qFormat/>
    <w:rsid w:val="00b62d33"/>
    <w:pPr>
      <w:widowControl/>
      <w:suppressAutoHyphens w:val="true"/>
      <w:bidi w:val="0"/>
      <w:spacing w:before="0" w:after="0"/>
      <w:jc w:val="start"/>
      <w:textAlignment w:val="baseline"/>
    </w:pPr>
    <w:rPr>
      <w:rFonts w:ascii="Arial" w:hAnsi="Arial" w:eastAsia="Times New Roman" w:cs="Arial"/>
      <w:color w:val="000000"/>
      <w:kern w:val="2"/>
      <w:sz w:val="24"/>
      <w:szCs w:val="24"/>
      <w:lang w:val="pl-PL" w:eastAsia="zh-CN" w:bidi="hi-IN"/>
    </w:rPr>
  </w:style>
  <w:style w:type="paragraph" w:styleId="ACPTrerozdziau1" w:customStyle="1">
    <w:name w:val="ACP.Treść rozdziału 1"/>
    <w:basedOn w:val="Normal"/>
    <w:uiPriority w:val="1"/>
    <w:qFormat/>
    <w:rsid w:val="00b478bb"/>
    <w:pPr>
      <w:numPr>
        <w:ilvl w:val="1"/>
        <w:numId w:val="1"/>
      </w:numPr>
      <w:spacing w:lineRule="auto" w:line="240" w:before="0" w:after="60"/>
      <w:jc w:val="both"/>
    </w:pPr>
    <w:rPr>
      <w:rFonts w:eastAsia="" w:cs="" w:cstheme="minorBidi" w:eastAsiaTheme="minorEastAsia"/>
      <w:color w:val="auto"/>
      <w:lang w:eastAsia="pl-PL"/>
    </w:rPr>
  </w:style>
  <w:style w:type="paragraph" w:styleId="ACPTrerozdziau2" w:customStyle="1">
    <w:name w:val="ACP.Treść rozdziału 2"/>
    <w:basedOn w:val="Normal"/>
    <w:uiPriority w:val="2"/>
    <w:qFormat/>
    <w:rsid w:val="00b478bb"/>
    <w:pPr>
      <w:numPr>
        <w:ilvl w:val="2"/>
        <w:numId w:val="1"/>
      </w:numPr>
      <w:spacing w:lineRule="auto" w:line="240" w:before="0" w:after="60"/>
      <w:jc w:val="both"/>
    </w:pPr>
    <w:rPr>
      <w:rFonts w:eastAsia="" w:cs="" w:cstheme="minorBidi" w:eastAsiaTheme="minorEastAsia"/>
      <w:color w:val="auto"/>
      <w:lang w:eastAsia="pl-PL"/>
    </w:rPr>
  </w:style>
  <w:style w:type="paragraph" w:styleId="ACPListaabc-poziom1" w:customStyle="1">
    <w:name w:val="ACP.Lista abc - poziom 1"/>
    <w:basedOn w:val="Normal"/>
    <w:uiPriority w:val="3"/>
    <w:qFormat/>
    <w:rsid w:val="00b478bb"/>
    <w:pPr>
      <w:numPr>
        <w:ilvl w:val="3"/>
        <w:numId w:val="1"/>
      </w:numPr>
      <w:spacing w:lineRule="auto" w:line="240" w:before="0" w:after="60"/>
      <w:jc w:val="both"/>
    </w:pPr>
    <w:rPr>
      <w:rFonts w:eastAsia="" w:cs="" w:cstheme="minorBidi" w:eastAsiaTheme="minorEastAsia"/>
      <w:color w:val="auto"/>
      <w:lang w:eastAsia="pl-PL"/>
    </w:rPr>
  </w:style>
  <w:style w:type="paragraph" w:styleId="ACPListaabc-poziom2" w:customStyle="1">
    <w:name w:val="ACP.Lista abc - poziom 2"/>
    <w:basedOn w:val="Normal"/>
    <w:uiPriority w:val="4"/>
    <w:qFormat/>
    <w:rsid w:val="00b478bb"/>
    <w:pPr>
      <w:numPr>
        <w:ilvl w:val="4"/>
        <w:numId w:val="1"/>
      </w:numPr>
      <w:spacing w:lineRule="auto" w:line="240" w:before="0" w:after="60"/>
      <w:jc w:val="both"/>
    </w:pPr>
    <w:rPr>
      <w:rFonts w:eastAsia="" w:cs="" w:cstheme="minorBidi" w:eastAsiaTheme="minorEastAsia"/>
      <w:color w:val="auto"/>
      <w:lang w:eastAsia="pl-PL"/>
    </w:rPr>
  </w:style>
  <w:style w:type="paragraph" w:styleId="ACPTyturozdziau" w:customStyle="1">
    <w:name w:val="ACP.Tytuł rozdziału"/>
    <w:basedOn w:val="Normal"/>
    <w:next w:val="ACPTrerozdziau1"/>
    <w:qFormat/>
    <w:rsid w:val="00b478bb"/>
    <w:pPr>
      <w:keepNext w:val="true"/>
      <w:numPr>
        <w:ilvl w:val="0"/>
        <w:numId w:val="1"/>
      </w:numPr>
      <w:spacing w:lineRule="auto" w:line="240" w:before="200" w:after="200"/>
    </w:pPr>
    <w:rPr>
      <w:rFonts w:eastAsia="" w:cs="" w:cstheme="minorBidi" w:eastAsiaTheme="minorEastAsia"/>
      <w:b/>
      <w:bCs/>
      <w:caps/>
      <w:color w:themeColor="text1" w:val="000000"/>
      <w:lang w:eastAsia="pl-PL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b77eb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lineRule="auto" w:line="259" w:before="360" w:after="360"/>
      <w:ind w:start="864" w:end="864"/>
      <w:jc w:val="center"/>
    </w:pPr>
    <w:rPr>
      <w:rFonts w:cs="" w:cstheme="minorBidi"/>
      <w:i/>
      <w:iCs/>
      <w:color w:themeColor="accent1" w:themeShade="bf" w:val="365F91"/>
      <w:kern w:val="2"/>
      <w14:ligatures w14:val="standardContextual"/>
    </w:rPr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ef1cc6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ef1cc6"/>
    <w:pPr>
      <w:spacing w:lineRule="auto" w:line="240" w:before="0" w:after="0"/>
    </w:pPr>
    <w:rPr>
      <w:sz w:val="20"/>
      <w:szCs w:val="20"/>
    </w:rPr>
  </w:style>
  <w:style w:type="paragraph" w:styleId="Subtitle">
    <w:name w:val="Subtitle"/>
    <w:basedOn w:val="Normal"/>
    <w:next w:val="Normal"/>
    <w:link w:val="PodtytuZnak"/>
    <w:uiPriority w:val="11"/>
    <w:qFormat/>
    <w:rsid w:val="00513707"/>
    <w:pPr>
      <w:spacing w:lineRule="auto" w:line="259" w:before="0" w:after="160"/>
    </w:pPr>
    <w:rPr>
      <w:rFonts w:eastAsia="" w:cs="" w:cstheme="majorBidi" w:eastAsiaTheme="majorEastAsia"/>
      <w:color w:themeColor="text1" w:themeTint="a6" w:val="595959"/>
      <w:spacing w:val="15"/>
      <w:kern w:val="2"/>
      <w:sz w:val="28"/>
      <w:szCs w:val="28"/>
      <w14:ligatures w14:val="standardContextual"/>
    </w:rPr>
  </w:style>
  <w:style w:type="paragraph" w:styleId="Quote">
    <w:name w:val="Quote"/>
    <w:basedOn w:val="Normal"/>
    <w:next w:val="Normal"/>
    <w:link w:val="CytatZnak"/>
    <w:uiPriority w:val="29"/>
    <w:qFormat/>
    <w:rsid w:val="00513707"/>
    <w:pPr>
      <w:spacing w:lineRule="auto" w:line="259" w:before="160" w:after="160"/>
      <w:jc w:val="center"/>
    </w:pPr>
    <w:rPr>
      <w:rFonts w:cs="" w:cstheme="minorBidi"/>
      <w:i/>
      <w:iCs/>
      <w:color w:themeColor="text1" w:themeTint="bf" w:val="404040"/>
      <w:kern w:val="2"/>
      <w14:ligatures w14:val="standardContextual"/>
    </w:rPr>
  </w:style>
  <w:style w:type="paragraph" w:styleId="NoSpacing">
    <w:name w:val="No Spacing"/>
    <w:uiPriority w:val="1"/>
    <w:qFormat/>
    <w:rsid w:val="00513707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Arial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Zawartotabeliuser" w:customStyle="1">
    <w:name w:val="Zawartość tabeli (user)"/>
    <w:basedOn w:val="Normal"/>
    <w:qFormat/>
    <w:pPr>
      <w:widowControl w:val="false"/>
      <w:suppressLineNumbers/>
    </w:pPr>
    <w:rPr/>
  </w:style>
  <w:style w:type="numbering" w:styleId="Bezlisty" w:customStyle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c12b1e"/>
    <w:rPr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98b026-b4ff-42f7-9764-2ef0e9e40f3c">
      <Terms xmlns="http://schemas.microsoft.com/office/infopath/2007/PartnerControls"/>
    </lcf76f155ced4ddcb4097134ff3c332f>
    <TaxCatchAll xmlns="5a8a969c-b5cf-46f5-8048-2f322d008e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90A8F65A330A4E89A6582DB5636093" ma:contentTypeVersion="11" ma:contentTypeDescription="Utwórz nowy dokument." ma:contentTypeScope="" ma:versionID="d5e531ab9ddaadfe6faa110e5ef2a86f">
  <xsd:schema xmlns:xsd="http://www.w3.org/2001/XMLSchema" xmlns:xs="http://www.w3.org/2001/XMLSchema" xmlns:p="http://schemas.microsoft.com/office/2006/metadata/properties" xmlns:ns2="e598b026-b4ff-42f7-9764-2ef0e9e40f3c" xmlns:ns3="5a8a969c-b5cf-46f5-8048-2f322d008edb" targetNamespace="http://schemas.microsoft.com/office/2006/metadata/properties" ma:root="true" ma:fieldsID="b98fe6998e8c6d4a26122746cabbbc24" ns2:_="" ns3:_="">
    <xsd:import namespace="e598b026-b4ff-42f7-9764-2ef0e9e40f3c"/>
    <xsd:import namespace="5a8a969c-b5cf-46f5-8048-2f322d008e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8b026-b4ff-42f7-9764-2ef0e9e40f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492386f8-c9a8-4063-b817-4d0b25ae35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a969c-b5cf-46f5-8048-2f322d008ed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774dcba1-fd98-43f6-b4a3-9afe0c4f47e3}" ma:internalName="TaxCatchAll" ma:showField="CatchAllData" ma:web="5a8a969c-b5cf-46f5-8048-2f322d008e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570B9-F212-4F31-BD0F-3F4D4C4AD40F}">
  <ds:schemaRefs>
    <ds:schemaRef ds:uri="http://schemas.microsoft.com/office/2006/metadata/properties"/>
    <ds:schemaRef ds:uri="http://schemas.microsoft.com/office/infopath/2007/PartnerControls"/>
    <ds:schemaRef ds:uri="e598b026-b4ff-42f7-9764-2ef0e9e40f3c"/>
    <ds:schemaRef ds:uri="5a8a969c-b5cf-46f5-8048-2f322d008edb"/>
  </ds:schemaRefs>
</ds:datastoreItem>
</file>

<file path=customXml/itemProps2.xml><?xml version="1.0" encoding="utf-8"?>
<ds:datastoreItem xmlns:ds="http://schemas.openxmlformats.org/officeDocument/2006/customXml" ds:itemID="{A4B40ABA-9B09-4CF0-AAAB-7BD4E0B826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E68E8D-BC60-43C9-B2C3-06A8B4030A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98b026-b4ff-42f7-9764-2ef0e9e40f3c"/>
    <ds:schemaRef ds:uri="5a8a969c-b5cf-46f5-8048-2f322d008e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AA3A2D-9E29-4816-B416-599ED440E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Application>LibreOffice/26.2.1.2$Windows_X86_64 LibreOffice_project/620$Build-2</Application>
  <AppVersion>15.0000</AppVersion>
  <Pages>5</Pages>
  <Words>696</Words>
  <Characters>4682</Characters>
  <CharactersWithSpaces>6197</CharactersWithSpaces>
  <Paragraphs>83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2025-10-28T04:21:00Z</dcterms:created>
  <dc:creator>JiA</dc:creator>
  <dc:description/>
  <dc:language>pl-PL</dc:language>
  <cp:lastModifiedBy/>
  <cp:lastPrinted>2025-07-22T16:56:00Z</cp:lastPrinted>
  <dcterms:modified xsi:type="dcterms:W3CDTF">2026-04-13T07:59:37Z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0x0101007290A8F65A330A4E89A6582DB5636093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MediaServiceImageTags">
    <vt:lpwstr/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